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8B540" w14:textId="77777777" w:rsidR="00EA61C0" w:rsidRDefault="00EA61C0" w:rsidP="00EA61C0">
      <w:pPr>
        <w:pStyle w:val="BodyText"/>
      </w:pPr>
      <w:r>
        <w:t xml:space="preserve">Basic Checklist for Termination of an Employee </w:t>
      </w:r>
      <w:proofErr w:type="gramStart"/>
      <w:r>
        <w:t>For</w:t>
      </w:r>
      <w:proofErr w:type="gramEnd"/>
      <w:r>
        <w:t xml:space="preserve"> California Employers</w:t>
      </w:r>
    </w:p>
    <w:p w14:paraId="6DEE3023" w14:textId="77777777" w:rsidR="00EA61C0" w:rsidRDefault="00EA61C0" w:rsidP="00EA61C0">
      <w:pPr>
        <w:rPr>
          <w:rFonts w:ascii="Minion" w:hAnsi="Minion"/>
        </w:rPr>
      </w:pPr>
    </w:p>
    <w:p w14:paraId="65B9B163" w14:textId="77777777" w:rsidR="00EA61C0" w:rsidRDefault="00EA61C0" w:rsidP="00EA61C0">
      <w:pPr>
        <w:rPr>
          <w:rFonts w:ascii="Minion" w:hAnsi="Minion"/>
        </w:rPr>
      </w:pPr>
      <w:r>
        <w:rPr>
          <w:rFonts w:ascii="Minion" w:hAnsi="Minion"/>
        </w:rPr>
        <w:t>For purposes of this checklist, a terminated employee is one who has been terminated, discharged for discipline, or laid off. </w:t>
      </w:r>
    </w:p>
    <w:p w14:paraId="1FD71AC7" w14:textId="77777777" w:rsidR="00EA61C0" w:rsidRDefault="00EA61C0" w:rsidP="00EA61C0">
      <w:pPr>
        <w:rPr>
          <w:rFonts w:ascii="Minion" w:hAnsi="Minion"/>
        </w:rPr>
      </w:pPr>
    </w:p>
    <w:p w14:paraId="1A2B08C8" w14:textId="77777777" w:rsidR="00EA61C0" w:rsidRDefault="00EA61C0" w:rsidP="00EA61C0">
      <w:pPr>
        <w:pStyle w:val="Heading1"/>
      </w:pPr>
      <w:r>
        <w:t>Mandatory Actions</w:t>
      </w:r>
    </w:p>
    <w:p w14:paraId="7FFC94E1" w14:textId="77777777" w:rsidR="00EA61C0" w:rsidRPr="00EA61C0" w:rsidRDefault="00EA61C0" w:rsidP="00EA61C0">
      <w:pPr>
        <w:numPr>
          <w:ilvl w:val="0"/>
          <w:numId w:val="2"/>
        </w:numPr>
        <w:rPr>
          <w:rFonts w:ascii="Minion" w:hAnsi="Minion"/>
          <w:color w:val="000000" w:themeColor="text1"/>
        </w:rPr>
      </w:pPr>
      <w:r w:rsidRPr="00EA61C0">
        <w:rPr>
          <w:rFonts w:ascii="Minion" w:hAnsi="Minion"/>
          <w:color w:val="000000" w:themeColor="text1"/>
        </w:rPr>
        <w:t xml:space="preserve">Pay earned but unpaid "wages." Labor Code Section </w:t>
      </w:r>
      <w:hyperlink r:id="rId7" w:history="1">
        <w:r w:rsidRPr="00EA61C0">
          <w:rPr>
            <w:rStyle w:val="Hyperlink"/>
            <w:rFonts w:ascii="Minion" w:hAnsi="Minion"/>
            <w:color w:val="000000" w:themeColor="text1"/>
          </w:rPr>
          <w:t>201</w:t>
        </w:r>
      </w:hyperlink>
      <w:r w:rsidRPr="00EA61C0">
        <w:rPr>
          <w:rFonts w:ascii="Minion" w:hAnsi="Minion"/>
          <w:color w:val="000000" w:themeColor="text1"/>
        </w:rPr>
        <w:t xml:space="preserve"> </w:t>
      </w:r>
      <w:r w:rsidRPr="00EA61C0">
        <w:rPr>
          <w:rFonts w:ascii="Minion" w:hAnsi="Minion"/>
          <w:color w:val="000000" w:themeColor="text1"/>
        </w:rPr>
        <w:br/>
        <w:t xml:space="preserve"> </w:t>
      </w:r>
    </w:p>
    <w:p w14:paraId="17E86CBC" w14:textId="77777777" w:rsidR="00EA61C0" w:rsidRPr="00EA61C0" w:rsidRDefault="00EA61C0" w:rsidP="00EA61C0">
      <w:pPr>
        <w:numPr>
          <w:ilvl w:val="0"/>
          <w:numId w:val="2"/>
        </w:numPr>
        <w:rPr>
          <w:i/>
          <w:color w:val="000000" w:themeColor="text1"/>
        </w:rPr>
      </w:pPr>
      <w:r w:rsidRPr="00EA61C0">
        <w:rPr>
          <w:rFonts w:ascii="Minion" w:hAnsi="Minion"/>
          <w:color w:val="000000" w:themeColor="text1"/>
        </w:rPr>
        <w:t xml:space="preserve">Pay "Vacation Pay" for vested unused vacation. Labor Code Section </w:t>
      </w:r>
      <w:hyperlink r:id="rId8" w:history="1">
        <w:r w:rsidRPr="00EA61C0">
          <w:rPr>
            <w:rStyle w:val="Hyperlink"/>
            <w:rFonts w:ascii="Minion" w:hAnsi="Minion"/>
            <w:color w:val="000000" w:themeColor="text1"/>
          </w:rPr>
          <w:t>227.3</w:t>
        </w:r>
      </w:hyperlink>
      <w:r w:rsidRPr="00EA61C0">
        <w:rPr>
          <w:rFonts w:ascii="Minion" w:hAnsi="Minion"/>
          <w:color w:val="000000" w:themeColor="text1"/>
        </w:rPr>
        <w:br/>
      </w:r>
      <w:r w:rsidRPr="00EA61C0">
        <w:rPr>
          <w:i/>
          <w:color w:val="000000" w:themeColor="text1"/>
        </w:rPr>
        <w:t xml:space="preserve"> </w:t>
      </w:r>
    </w:p>
    <w:p w14:paraId="4AA0187A" w14:textId="77777777" w:rsidR="00EA61C0" w:rsidRPr="00EA61C0" w:rsidRDefault="00EA61C0" w:rsidP="00EA61C0">
      <w:pPr>
        <w:numPr>
          <w:ilvl w:val="0"/>
          <w:numId w:val="2"/>
        </w:numPr>
        <w:rPr>
          <w:rFonts w:ascii="Minion" w:hAnsi="Minion"/>
          <w:color w:val="000000" w:themeColor="text1"/>
        </w:rPr>
      </w:pPr>
      <w:r w:rsidRPr="00EA61C0">
        <w:rPr>
          <w:rFonts w:ascii="Minion" w:hAnsi="Minion"/>
          <w:color w:val="000000" w:themeColor="text1"/>
        </w:rPr>
        <w:t xml:space="preserve">Issue pamphlet "For Your Benefit" Employment Development Department (EDD) Form </w:t>
      </w:r>
      <w:hyperlink r:id="rId9" w:history="1">
        <w:r w:rsidRPr="00EA61C0">
          <w:rPr>
            <w:rStyle w:val="Hyperlink"/>
            <w:rFonts w:ascii="Minion" w:hAnsi="Minion"/>
            <w:color w:val="000000" w:themeColor="text1"/>
          </w:rPr>
          <w:t>DE 2320</w:t>
        </w:r>
      </w:hyperlink>
      <w:r w:rsidRPr="00EA61C0">
        <w:rPr>
          <w:rFonts w:ascii="Minion" w:hAnsi="Minion"/>
          <w:color w:val="000000" w:themeColor="text1"/>
        </w:rPr>
        <w:t xml:space="preserve"> . UI Code Section </w:t>
      </w:r>
      <w:hyperlink r:id="rId10" w:history="1">
        <w:r w:rsidRPr="00EA61C0">
          <w:rPr>
            <w:rStyle w:val="Hyperlink"/>
            <w:rFonts w:ascii="Minion" w:hAnsi="Minion"/>
            <w:color w:val="000000" w:themeColor="text1"/>
          </w:rPr>
          <w:t>1089</w:t>
        </w:r>
      </w:hyperlink>
    </w:p>
    <w:p w14:paraId="7AD7D24A" w14:textId="77777777" w:rsidR="00EA61C0" w:rsidRPr="00EA61C0" w:rsidRDefault="00EA61C0" w:rsidP="00EA61C0">
      <w:pPr>
        <w:ind w:left="360"/>
        <w:rPr>
          <w:rFonts w:ascii="Minion" w:hAnsi="Minion"/>
          <w:color w:val="000000" w:themeColor="text1"/>
        </w:rPr>
      </w:pPr>
      <w:r w:rsidRPr="00EA61C0">
        <w:rPr>
          <w:rFonts w:ascii="Minion" w:hAnsi="Minion"/>
          <w:color w:val="000000" w:themeColor="text1"/>
        </w:rPr>
        <w:t xml:space="preserve">  </w:t>
      </w:r>
    </w:p>
    <w:p w14:paraId="44AB5625" w14:textId="77777777" w:rsidR="00EA61C0" w:rsidRPr="00EA61C0" w:rsidRDefault="00EA61C0" w:rsidP="00EA61C0">
      <w:pPr>
        <w:numPr>
          <w:ilvl w:val="0"/>
          <w:numId w:val="2"/>
        </w:numPr>
        <w:rPr>
          <w:rFonts w:ascii="Minion" w:hAnsi="Minion"/>
          <w:color w:val="000000" w:themeColor="text1"/>
        </w:rPr>
      </w:pPr>
      <w:r w:rsidRPr="00EA61C0">
        <w:rPr>
          <w:rFonts w:ascii="Minion" w:hAnsi="Minion"/>
          <w:color w:val="000000" w:themeColor="text1"/>
        </w:rPr>
        <w:t xml:space="preserve">Issue a "Change of Status Notice." UI Code Section </w:t>
      </w:r>
      <w:hyperlink r:id="rId11" w:history="1">
        <w:r w:rsidRPr="00EA61C0">
          <w:rPr>
            <w:rStyle w:val="Hyperlink"/>
            <w:rFonts w:ascii="Minion" w:hAnsi="Minion"/>
            <w:color w:val="000000" w:themeColor="text1"/>
          </w:rPr>
          <w:t>1089</w:t>
        </w:r>
      </w:hyperlink>
      <w:r w:rsidRPr="00EA61C0">
        <w:rPr>
          <w:rFonts w:ascii="Minion" w:hAnsi="Minion"/>
          <w:color w:val="000000" w:themeColor="text1"/>
        </w:rPr>
        <w:t xml:space="preserve">  (Not for employees who quit). </w:t>
      </w:r>
      <w:r w:rsidRPr="00EA61C0">
        <w:rPr>
          <w:rFonts w:ascii="Minion" w:hAnsi="Minion"/>
          <w:color w:val="000000" w:themeColor="text1"/>
        </w:rPr>
        <w:br/>
      </w:r>
    </w:p>
    <w:p w14:paraId="7C14AD9E" w14:textId="77777777" w:rsidR="00EA61C0" w:rsidRPr="00EA61C0" w:rsidRDefault="00EA61C0" w:rsidP="00EA61C0">
      <w:pPr>
        <w:numPr>
          <w:ilvl w:val="0"/>
          <w:numId w:val="2"/>
        </w:numPr>
        <w:rPr>
          <w:rFonts w:ascii="Minion" w:hAnsi="Minion"/>
          <w:color w:val="000000" w:themeColor="text1"/>
        </w:rPr>
      </w:pPr>
      <w:r w:rsidRPr="00EA61C0">
        <w:rPr>
          <w:rFonts w:ascii="Minion" w:hAnsi="Minion"/>
          <w:color w:val="000000" w:themeColor="text1"/>
        </w:rPr>
        <w:t xml:space="preserve">Issue a "Health Insurance Premium Program" </w:t>
      </w:r>
      <w:hyperlink r:id="rId12" w:history="1">
        <w:r w:rsidRPr="00EA61C0">
          <w:rPr>
            <w:rStyle w:val="Hyperlink"/>
            <w:rFonts w:ascii="Minion" w:hAnsi="Minion"/>
            <w:color w:val="000000" w:themeColor="text1"/>
          </w:rPr>
          <w:t>(HIPP) Notice</w:t>
        </w:r>
      </w:hyperlink>
      <w:r w:rsidRPr="00EA61C0">
        <w:rPr>
          <w:rFonts w:ascii="Minion" w:hAnsi="Minion"/>
          <w:color w:val="000000" w:themeColor="text1"/>
        </w:rPr>
        <w:t xml:space="preserve"> . Employers with 20 or more employees, and if employee was covered by health insurance. Labor Code Section </w:t>
      </w:r>
      <w:hyperlink r:id="rId13" w:history="1">
        <w:r w:rsidRPr="00EA61C0">
          <w:rPr>
            <w:rStyle w:val="Hyperlink"/>
            <w:rFonts w:ascii="Minion" w:hAnsi="Minion"/>
            <w:color w:val="000000" w:themeColor="text1"/>
          </w:rPr>
          <w:t>2807</w:t>
        </w:r>
      </w:hyperlink>
      <w:r w:rsidRPr="00EA61C0">
        <w:rPr>
          <w:rFonts w:ascii="Minion" w:hAnsi="Minion"/>
          <w:color w:val="000000" w:themeColor="text1"/>
        </w:rPr>
        <w:t xml:space="preserve">, and Welfare and Institutions Code Section </w:t>
      </w:r>
      <w:hyperlink r:id="rId14" w:history="1">
        <w:r w:rsidRPr="00EA61C0">
          <w:rPr>
            <w:rStyle w:val="Hyperlink"/>
            <w:rFonts w:ascii="Minion" w:hAnsi="Minion"/>
            <w:color w:val="000000" w:themeColor="text1"/>
          </w:rPr>
          <w:t>14124.91</w:t>
        </w:r>
      </w:hyperlink>
      <w:r w:rsidRPr="00EA61C0">
        <w:rPr>
          <w:rFonts w:ascii="Minion" w:hAnsi="Minion"/>
          <w:color w:val="000000" w:themeColor="text1"/>
        </w:rPr>
        <w:t xml:space="preserve">  </w:t>
      </w:r>
      <w:r w:rsidRPr="00EA61C0">
        <w:rPr>
          <w:rFonts w:ascii="Minion" w:hAnsi="Minion"/>
          <w:color w:val="000000" w:themeColor="text1"/>
        </w:rPr>
        <w:br/>
      </w:r>
    </w:p>
    <w:p w14:paraId="7EE614CD" w14:textId="62683D58" w:rsidR="00EA61C0" w:rsidRPr="009D2C08" w:rsidRDefault="00EA61C0" w:rsidP="00EA61C0">
      <w:pPr>
        <w:numPr>
          <w:ilvl w:val="0"/>
          <w:numId w:val="2"/>
        </w:numPr>
        <w:rPr>
          <w:rFonts w:ascii="Minion" w:hAnsi="Minion"/>
          <w:color w:val="000000" w:themeColor="text1"/>
        </w:rPr>
      </w:pPr>
      <w:r w:rsidRPr="00EA61C0">
        <w:rPr>
          <w:rFonts w:ascii="Minion" w:hAnsi="Minion"/>
          <w:color w:val="000000" w:themeColor="text1"/>
        </w:rPr>
        <w:t xml:space="preserve">"Insurance Privilege Rights." Issue notice to employee of all continuation, disability extension, and conversion coverage options under any employer-sponsored coverage for which the employee may remain eligible after employment terminates. Labor Code Section </w:t>
      </w:r>
      <w:hyperlink r:id="rId15" w:history="1">
        <w:r w:rsidRPr="00EA61C0">
          <w:rPr>
            <w:rStyle w:val="Hyperlink"/>
            <w:rFonts w:ascii="Minion" w:hAnsi="Minion"/>
            <w:color w:val="000000" w:themeColor="text1"/>
          </w:rPr>
          <w:t>2808(b)</w:t>
        </w:r>
      </w:hyperlink>
      <w:r w:rsidRPr="00EA61C0">
        <w:rPr>
          <w:rFonts w:ascii="Minion" w:hAnsi="Minion"/>
          <w:color w:val="000000" w:themeColor="text1"/>
        </w:rPr>
        <w:t xml:space="preserve"> </w:t>
      </w:r>
    </w:p>
    <w:p w14:paraId="5BB90870" w14:textId="77777777" w:rsidR="007F321D" w:rsidRDefault="007F321D" w:rsidP="007F321D">
      <w:pPr>
        <w:ind w:left="720"/>
        <w:rPr>
          <w:rFonts w:ascii="Minion" w:hAnsi="Minion"/>
          <w:color w:val="000000" w:themeColor="text1"/>
        </w:rPr>
      </w:pPr>
    </w:p>
    <w:p w14:paraId="64859637" w14:textId="77777777" w:rsidR="00EA61C0" w:rsidRPr="00EA61C0" w:rsidRDefault="00EA61C0" w:rsidP="00EA61C0">
      <w:pPr>
        <w:numPr>
          <w:ilvl w:val="0"/>
          <w:numId w:val="2"/>
        </w:numPr>
        <w:rPr>
          <w:rFonts w:ascii="Minion" w:hAnsi="Minion"/>
          <w:color w:val="000000" w:themeColor="text1"/>
        </w:rPr>
      </w:pPr>
      <w:r w:rsidRPr="00EA61C0">
        <w:rPr>
          <w:rFonts w:ascii="Minion" w:hAnsi="Minion"/>
          <w:color w:val="000000" w:themeColor="text1"/>
        </w:rPr>
        <w:t xml:space="preserve">"COBRA-Federal" Generally employers with 20 or more employees who provide medical benefits. Issue notice to employees and dependents of their rights to extend their group health plan coverage(s). Notice to plan administrator within 30 days. Plan administrator notice to employee/dependents within 14 days. </w:t>
      </w:r>
      <w:hyperlink r:id="rId16" w:history="1">
        <w:r w:rsidRPr="00EA61C0">
          <w:rPr>
            <w:rStyle w:val="Hyperlink"/>
            <w:rFonts w:ascii="Minion" w:hAnsi="Minion"/>
            <w:color w:val="000000" w:themeColor="text1"/>
          </w:rPr>
          <w:t>26 CFR 54.4980B-1</w:t>
        </w:r>
      </w:hyperlink>
      <w:r w:rsidRPr="00EA61C0">
        <w:rPr>
          <w:rFonts w:ascii="Minion" w:hAnsi="Minion"/>
          <w:color w:val="000000" w:themeColor="text1"/>
        </w:rPr>
        <w:br/>
        <w:t xml:space="preserve">  </w:t>
      </w:r>
    </w:p>
    <w:p w14:paraId="383257F2" w14:textId="484F3AE3" w:rsidR="00EA61C0" w:rsidRPr="002411CA" w:rsidRDefault="00EA61C0" w:rsidP="00EA61C0">
      <w:pPr>
        <w:tabs>
          <w:tab w:val="left" w:pos="720"/>
          <w:tab w:val="left" w:pos="2520"/>
          <w:tab w:val="left" w:leader="dot" w:pos="8640"/>
        </w:tabs>
        <w:rPr>
          <w:rFonts w:ascii="Times New Roman" w:hAnsi="Times New Roman"/>
          <w:color w:val="000000" w:themeColor="text1"/>
          <w:sz w:val="21"/>
          <w:szCs w:val="21"/>
        </w:rPr>
      </w:pPr>
      <w:r w:rsidRPr="00EA61C0">
        <w:rPr>
          <w:rFonts w:ascii="Minion" w:hAnsi="Minion"/>
          <w:color w:val="000000" w:themeColor="text1"/>
        </w:rPr>
        <w:t xml:space="preserve">"COBRA-California" Generally employers with 2-19 employees (effective 1/1/98) must notify the health care provider, that an employee has terminated. Health and Safety Code Section </w:t>
      </w:r>
      <w:hyperlink r:id="rId17" w:history="1">
        <w:r w:rsidRPr="00EA61C0">
          <w:rPr>
            <w:rStyle w:val="Hyperlink"/>
            <w:rFonts w:ascii="Minion" w:hAnsi="Minion"/>
            <w:color w:val="000000" w:themeColor="text1"/>
          </w:rPr>
          <w:t>1366.20-1366.28</w:t>
        </w:r>
      </w:hyperlink>
      <w:r w:rsidRPr="00EA61C0">
        <w:rPr>
          <w:rFonts w:ascii="Minion" w:hAnsi="Minion"/>
          <w:color w:val="000000" w:themeColor="text1"/>
        </w:rPr>
        <w:t xml:space="preserve"> </w:t>
      </w:r>
      <w:bookmarkStart w:id="0" w:name="_GoBack"/>
    </w:p>
    <w:bookmarkEnd w:id="0"/>
    <w:sectPr w:rsidR="00EA61C0" w:rsidRPr="002411CA" w:rsidSect="00FD2AC5">
      <w:footerReference w:type="default" r:id="rId18"/>
      <w:pgSz w:w="12240" w:h="15840"/>
      <w:pgMar w:top="1440" w:right="1800" w:bottom="72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AE27D" w14:textId="77777777" w:rsidR="0097507B" w:rsidRDefault="0097507B">
      <w:r>
        <w:separator/>
      </w:r>
    </w:p>
  </w:endnote>
  <w:endnote w:type="continuationSeparator" w:id="0">
    <w:p w14:paraId="1608D886" w14:textId="77777777" w:rsidR="0097507B" w:rsidRDefault="0097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MT">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w:altName w:val="Calibri"/>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970AB" w14:textId="77777777" w:rsidR="002411CA" w:rsidRDefault="002411CA" w:rsidP="002411CA">
    <w:pPr>
      <w:pStyle w:val="Footer"/>
      <w:jc w:val="center"/>
      <w:rPr>
        <w:b/>
        <w:bCs/>
        <w:iCs/>
        <w:sz w:val="21"/>
        <w:szCs w:val="21"/>
      </w:rPr>
    </w:pPr>
  </w:p>
  <w:p w14:paraId="54884353" w14:textId="4261027E" w:rsidR="00FD2AC5" w:rsidRPr="002411CA" w:rsidRDefault="002D4E78" w:rsidP="002411CA">
    <w:pPr>
      <w:pStyle w:val="Footer"/>
      <w:jc w:val="center"/>
      <w:rPr>
        <w:sz w:val="21"/>
        <w:szCs w:val="21"/>
      </w:rPr>
    </w:pPr>
    <w:r w:rsidRPr="002411CA">
      <w:rPr>
        <w:b/>
        <w:bCs/>
        <w:iCs/>
        <w:sz w:val="21"/>
        <w:szCs w:val="21"/>
      </w:rPr>
      <w:t>This form provided to members of</w:t>
    </w:r>
    <w:r w:rsidR="002411CA" w:rsidRPr="002411CA">
      <w:rPr>
        <w:b/>
        <w:bCs/>
        <w:iCs/>
        <w:sz w:val="21"/>
        <w:szCs w:val="21"/>
      </w:rPr>
      <w:t xml:space="preserve"> </w:t>
    </w:r>
    <w:proofErr w:type="spellStart"/>
    <w:r w:rsidR="002411CA" w:rsidRPr="002411CA">
      <w:rPr>
        <w:b/>
        <w:bCs/>
        <w:iCs/>
        <w:sz w:val="21"/>
        <w:szCs w:val="21"/>
      </w:rPr>
      <w:t>EverythingHR</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642F6" w14:textId="77777777" w:rsidR="0097507B" w:rsidRDefault="0097507B">
      <w:r>
        <w:separator/>
      </w:r>
    </w:p>
  </w:footnote>
  <w:footnote w:type="continuationSeparator" w:id="0">
    <w:p w14:paraId="4E64331A" w14:textId="77777777" w:rsidR="0097507B" w:rsidRDefault="009750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0341F"/>
    <w:multiLevelType w:val="singleLevel"/>
    <w:tmpl w:val="B00C6FF8"/>
    <w:lvl w:ilvl="0">
      <w:numFmt w:val="bullet"/>
      <w:lvlText w:val=""/>
      <w:lvlJc w:val="left"/>
      <w:pPr>
        <w:tabs>
          <w:tab w:val="num" w:pos="1080"/>
        </w:tabs>
        <w:ind w:left="1080" w:hanging="360"/>
      </w:pPr>
      <w:rPr>
        <w:rFonts w:ascii="Monotype Sorts" w:hAnsi="Monotype Sorts" w:hint="default"/>
      </w:rPr>
    </w:lvl>
  </w:abstractNum>
  <w:abstractNum w:abstractNumId="1">
    <w:nsid w:val="478507CC"/>
    <w:multiLevelType w:val="hybridMultilevel"/>
    <w:tmpl w:val="A3466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4E78"/>
    <w:rsid w:val="000F0D6D"/>
    <w:rsid w:val="002411CA"/>
    <w:rsid w:val="002D4E78"/>
    <w:rsid w:val="004B49FE"/>
    <w:rsid w:val="0070016F"/>
    <w:rsid w:val="007F321D"/>
    <w:rsid w:val="008B3901"/>
    <w:rsid w:val="0097507B"/>
    <w:rsid w:val="009B630D"/>
    <w:rsid w:val="009D2C08"/>
    <w:rsid w:val="00A05CEB"/>
    <w:rsid w:val="00AE73CC"/>
    <w:rsid w:val="00EA61C0"/>
    <w:rsid w:val="00FD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5BB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2AC5"/>
    <w:rPr>
      <w:rFonts w:ascii="Arial" w:hAnsi="Arial"/>
      <w:sz w:val="24"/>
    </w:rPr>
  </w:style>
  <w:style w:type="paragraph" w:styleId="Heading1">
    <w:name w:val="heading 1"/>
    <w:basedOn w:val="Normal"/>
    <w:next w:val="Normal"/>
    <w:qFormat/>
    <w:rsid w:val="00FD2AC5"/>
    <w:pPr>
      <w:keepNext/>
      <w:outlineLvl w:val="0"/>
    </w:pPr>
    <w:rPr>
      <w:sz w:val="28"/>
    </w:rPr>
  </w:style>
  <w:style w:type="paragraph" w:styleId="Heading2">
    <w:name w:val="heading 2"/>
    <w:basedOn w:val="Normal"/>
    <w:next w:val="Normal"/>
    <w:qFormat/>
    <w:rsid w:val="00FD2AC5"/>
    <w:pPr>
      <w:keepNext/>
      <w:jc w:val="center"/>
      <w:outlineLvl w:val="1"/>
    </w:pPr>
    <w:rPr>
      <w:rFonts w:ascii="Albertus MT" w:hAnsi="Albertus M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D2AC5"/>
    <w:pPr>
      <w:tabs>
        <w:tab w:val="left" w:pos="2160"/>
        <w:tab w:val="left" w:leader="dot" w:pos="8640"/>
      </w:tabs>
    </w:pPr>
    <w:rPr>
      <w:b/>
      <w:sz w:val="22"/>
    </w:rPr>
  </w:style>
  <w:style w:type="paragraph" w:styleId="BodyText2">
    <w:name w:val="Body Text 2"/>
    <w:basedOn w:val="Normal"/>
    <w:semiHidden/>
    <w:rsid w:val="00FD2AC5"/>
    <w:pPr>
      <w:tabs>
        <w:tab w:val="left" w:pos="720"/>
        <w:tab w:val="left" w:pos="2520"/>
        <w:tab w:val="left" w:leader="dot" w:pos="8640"/>
      </w:tabs>
    </w:pPr>
    <w:rPr>
      <w:sz w:val="22"/>
    </w:rPr>
  </w:style>
  <w:style w:type="paragraph" w:styleId="Header">
    <w:name w:val="header"/>
    <w:basedOn w:val="Normal"/>
    <w:semiHidden/>
    <w:rsid w:val="00FD2AC5"/>
    <w:pPr>
      <w:tabs>
        <w:tab w:val="center" w:pos="4320"/>
        <w:tab w:val="right" w:pos="8640"/>
      </w:tabs>
    </w:pPr>
  </w:style>
  <w:style w:type="paragraph" w:styleId="Footer">
    <w:name w:val="footer"/>
    <w:basedOn w:val="Normal"/>
    <w:semiHidden/>
    <w:rsid w:val="00FD2AC5"/>
    <w:pPr>
      <w:tabs>
        <w:tab w:val="center" w:pos="4320"/>
        <w:tab w:val="right" w:pos="8640"/>
      </w:tabs>
    </w:pPr>
  </w:style>
  <w:style w:type="character" w:styleId="Hyperlink">
    <w:name w:val="Hyperlink"/>
    <w:basedOn w:val="DefaultParagraphFont"/>
    <w:rsid w:val="00EA61C0"/>
    <w:rPr>
      <w:color w:val="0000FF"/>
      <w:u w:val="single"/>
    </w:rPr>
  </w:style>
  <w:style w:type="paragraph" w:styleId="BalloonText">
    <w:name w:val="Balloon Text"/>
    <w:basedOn w:val="Normal"/>
    <w:link w:val="BalloonTextChar"/>
    <w:uiPriority w:val="99"/>
    <w:semiHidden/>
    <w:unhideWhenUsed/>
    <w:rsid w:val="007F321D"/>
    <w:rPr>
      <w:rFonts w:ascii="Tahoma" w:hAnsi="Tahoma" w:cs="Tahoma"/>
      <w:sz w:val="16"/>
      <w:szCs w:val="16"/>
    </w:rPr>
  </w:style>
  <w:style w:type="character" w:customStyle="1" w:styleId="BalloonTextChar">
    <w:name w:val="Balloon Text Char"/>
    <w:basedOn w:val="DefaultParagraphFont"/>
    <w:link w:val="BalloonText"/>
    <w:uiPriority w:val="99"/>
    <w:semiHidden/>
    <w:rsid w:val="007F3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dd.ca.gov/pdf_pub_ctr/de2320.pdf" TargetMode="External"/><Relationship Id="rId20" Type="http://schemas.openxmlformats.org/officeDocument/2006/relationships/theme" Target="theme/theme1.xml"/><Relationship Id="rId10" Type="http://schemas.openxmlformats.org/officeDocument/2006/relationships/hyperlink" Target="http://www.leginfo.ca.gov/cgi-bin/displaycode?section=uic&amp;group=01001-02000&amp;file=1085-1098" TargetMode="External"/><Relationship Id="rId11" Type="http://schemas.openxmlformats.org/officeDocument/2006/relationships/hyperlink" Target="http://www.leginfo.ca.gov/cgi-bin/displaycode?section=uic&amp;group=01001-02000&amp;file=1085-1098" TargetMode="External"/><Relationship Id="rId12" Type="http://schemas.openxmlformats.org/officeDocument/2006/relationships/hyperlink" Target="http://www.dhcs.ca.gov/services/Documents/HIPP%20DHCS%209061%20ENGLISH%20(Notice%20to%20Terminating%20Employees)%20Revised%2001-14.pdf" TargetMode="External"/><Relationship Id="rId13" Type="http://schemas.openxmlformats.org/officeDocument/2006/relationships/hyperlink" Target="http://www.leginfo.ca.gov/cgi-bin/displaycode?section=lab&amp;group=02001-03000&amp;file=2800-2810.5" TargetMode="External"/><Relationship Id="rId14" Type="http://schemas.openxmlformats.org/officeDocument/2006/relationships/hyperlink" Target="http://www.leginfo.ca.gov/cgi-bin/displaycode?section=wic&amp;group=14001-15000&amp;file=14124.70-14124.94" TargetMode="External"/><Relationship Id="rId15" Type="http://schemas.openxmlformats.org/officeDocument/2006/relationships/hyperlink" Target="http://www.leginfo.ca.gov/cgi-bin/displaycode?section=lab&amp;group=02001-03000&amp;file=2800-2810.5" TargetMode="External"/><Relationship Id="rId16" Type="http://schemas.openxmlformats.org/officeDocument/2006/relationships/hyperlink" Target="https://www.law.cornell.edu/cfr/text/26/54.4980B-1" TargetMode="External"/><Relationship Id="rId17" Type="http://schemas.openxmlformats.org/officeDocument/2006/relationships/hyperlink" Target="http://www.leginfo.ca.gov/cgi-bin/displaycode?section=hsc&amp;group=01001-02000&amp;file=1366.20-1366.29"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ginfo.ca.gov/cgi-bin/displaycode?section=lab&amp;group=00001-01000&amp;file=200-244" TargetMode="External"/><Relationship Id="rId8" Type="http://schemas.openxmlformats.org/officeDocument/2006/relationships/hyperlink" Target="http://www.leginfo.ca.gov/cgi-bin/displaycode?section=lab&amp;group=00001-01000&amp;file=200-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405</Words>
  <Characters>2313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Authorization for Direct Deposit of Payroll Check</vt:lpstr>
    </vt:vector>
  </TitlesOfParts>
  <Company>Microsoft</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Direct Deposit of Payroll Check</dc:title>
  <dc:creator>lwilliams</dc:creator>
  <cp:lastModifiedBy>Microsoft Office User</cp:lastModifiedBy>
  <cp:revision>6</cp:revision>
  <cp:lastPrinted>2002-12-24T16:14:00Z</cp:lastPrinted>
  <dcterms:created xsi:type="dcterms:W3CDTF">2017-08-10T23:05:00Z</dcterms:created>
  <dcterms:modified xsi:type="dcterms:W3CDTF">2018-05-21T18:15:00Z</dcterms:modified>
</cp:coreProperties>
</file>